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2842F" w14:textId="29F2CAE8" w:rsidR="00B94F76" w:rsidRPr="007167B6" w:rsidRDefault="00B94F76" w:rsidP="00B94F76">
      <w:pPr>
        <w:pStyle w:val="3GPPHeader"/>
        <w:spacing w:after="60"/>
        <w:rPr>
          <w:szCs w:val="24"/>
          <w:highlight w:val="yellow"/>
        </w:rPr>
      </w:pPr>
      <w:bookmarkStart w:id="0" w:name="OLE_LINK1"/>
      <w:bookmarkStart w:id="1" w:name="OLE_LINK2"/>
      <w:r w:rsidRPr="00AF49CC">
        <w:rPr>
          <w:szCs w:val="24"/>
        </w:rPr>
        <w:t xml:space="preserve">3GPP TSG-RAN WG2 </w:t>
      </w:r>
      <w:r>
        <w:rPr>
          <w:szCs w:val="24"/>
        </w:rPr>
        <w:t>#97</w:t>
      </w:r>
      <w:r w:rsidRPr="00AF49CC">
        <w:rPr>
          <w:szCs w:val="24"/>
        </w:rPr>
        <w:tab/>
      </w:r>
      <w:r w:rsidRPr="000B49F8">
        <w:rPr>
          <w:szCs w:val="24"/>
        </w:rPr>
        <w:t xml:space="preserve">Tdoc </w:t>
      </w:r>
      <w:bookmarkStart w:id="2" w:name="_GoBack"/>
      <w:r w:rsidR="00855B00" w:rsidRPr="00855B00">
        <w:rPr>
          <w:szCs w:val="24"/>
        </w:rPr>
        <w:t>R2-1700876</w:t>
      </w:r>
      <w:bookmarkEnd w:id="2"/>
    </w:p>
    <w:p w14:paraId="2E15E32E" w14:textId="77777777" w:rsidR="00B94F76" w:rsidRDefault="00B94F76" w:rsidP="00B94F76">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18B928F7" w14:textId="77777777" w:rsidR="00B94F76" w:rsidRPr="00CE0424" w:rsidRDefault="00B94F76" w:rsidP="00B94F76">
      <w:pPr>
        <w:pStyle w:val="3GPPHeader"/>
      </w:pPr>
    </w:p>
    <w:p w14:paraId="126549A0" w14:textId="016DA1DA" w:rsidR="00B94F76" w:rsidRPr="002708D3" w:rsidRDefault="00B94F76" w:rsidP="00B94F76">
      <w:pPr>
        <w:pStyle w:val="3GPPHeader"/>
        <w:rPr>
          <w:sz w:val="22"/>
          <w:szCs w:val="22"/>
          <w:lang w:val="en-US"/>
        </w:rPr>
      </w:pPr>
      <w:r w:rsidRPr="002708D3">
        <w:rPr>
          <w:sz w:val="22"/>
          <w:szCs w:val="22"/>
          <w:lang w:val="en-US"/>
        </w:rPr>
        <w:t>Agenda Item:</w:t>
      </w:r>
      <w:r w:rsidRPr="002708D3">
        <w:rPr>
          <w:sz w:val="22"/>
          <w:szCs w:val="22"/>
          <w:lang w:val="en-US"/>
        </w:rPr>
        <w:tab/>
      </w:r>
      <w:r w:rsidR="00DA7F82" w:rsidRPr="002708D3">
        <w:rPr>
          <w:sz w:val="22"/>
          <w:szCs w:val="22"/>
          <w:lang w:val="en-US"/>
        </w:rPr>
        <w:t>10.3.2</w:t>
      </w:r>
    </w:p>
    <w:p w14:paraId="0E2980CE" w14:textId="58B44ACA"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0F1818F2"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7B0AA1">
        <w:rPr>
          <w:b/>
          <w:sz w:val="22"/>
          <w:szCs w:val="22"/>
        </w:rPr>
        <w:t>I</w:t>
      </w:r>
      <w:r w:rsidR="00A1679C">
        <w:rPr>
          <w:b/>
          <w:sz w:val="22"/>
          <w:szCs w:val="22"/>
        </w:rPr>
        <w:t xml:space="preserve">RAT </w:t>
      </w:r>
      <w:r w:rsidR="00DA7F82">
        <w:rPr>
          <w:b/>
          <w:sz w:val="22"/>
          <w:szCs w:val="22"/>
        </w:rPr>
        <w:t xml:space="preserve">RRM </w:t>
      </w:r>
      <w:r w:rsidR="00821A06">
        <w:rPr>
          <w:b/>
          <w:sz w:val="22"/>
          <w:szCs w:val="22"/>
        </w:rPr>
        <w:t>measurement</w:t>
      </w:r>
      <w:r w:rsidR="007B0AA1">
        <w:rPr>
          <w:b/>
          <w:sz w:val="22"/>
          <w:szCs w:val="22"/>
        </w:rPr>
        <w:t>s</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28CD5F7D" w14:textId="77777777" w:rsidR="000811CF" w:rsidRDefault="000811CF" w:rsidP="000811CF">
      <w:r>
        <w:t>In TR 38.913, the following architecture requirements on New RAT (NR) have been captured with regard to the scenarios and requirements for next generation radio access:</w:t>
      </w:r>
    </w:p>
    <w:p w14:paraId="69D50344" w14:textId="77777777" w:rsidR="000811CF" w:rsidRDefault="000811CF" w:rsidP="000811CF">
      <w:pPr>
        <w:pStyle w:val="B1"/>
        <w:rPr>
          <w:i/>
          <w:lang w:eastAsia="zh-CN"/>
        </w:rPr>
      </w:pPr>
      <w:r>
        <w:rPr>
          <w:i/>
          <w:lang w:eastAsia="zh-CN"/>
        </w:rPr>
        <w:t>-</w:t>
      </w:r>
      <w:r>
        <w:rPr>
          <w:i/>
          <w:lang w:eastAsia="zh-CN"/>
        </w:rPr>
        <w:tab/>
        <w:t>The RAN architecture shall support tight interworking between the new RAT and LTE.</w:t>
      </w:r>
    </w:p>
    <w:p w14:paraId="2BEB4522" w14:textId="77777777" w:rsidR="000811CF" w:rsidRDefault="000811CF" w:rsidP="000811CF">
      <w:pPr>
        <w:pStyle w:val="B2"/>
        <w:rPr>
          <w:i/>
          <w:lang w:eastAsia="zh-CN"/>
        </w:rPr>
      </w:pPr>
      <w:r>
        <w:rPr>
          <w:i/>
          <w:lang w:eastAsia="zh-CN"/>
        </w:rPr>
        <w:t>-</w:t>
      </w:r>
      <w:r>
        <w:rPr>
          <w:i/>
          <w:lang w:eastAsia="zh-CN"/>
        </w:rPr>
        <w:tab/>
        <w:t xml:space="preserve">Considering </w:t>
      </w:r>
      <w:bookmarkStart w:id="4" w:name="OLE_LINK37"/>
      <w:bookmarkStart w:id="5" w:name="OLE_LINK36"/>
      <w:r>
        <w:rPr>
          <w:i/>
          <w:lang w:eastAsia="zh-CN"/>
        </w:rPr>
        <w:t xml:space="preserve">high performing inter-RAT mobility </w:t>
      </w:r>
      <w:bookmarkEnd w:id="4"/>
      <w:bookmarkEnd w:id="5"/>
      <w:r>
        <w:rPr>
          <w:i/>
          <w:lang w:eastAsia="zh-CN"/>
        </w:rPr>
        <w:t>and aggregation of data flows via at least dual connectivity between LTE and new RAT. This shall be supported for both collocated and non-collocated site deployments.</w:t>
      </w:r>
    </w:p>
    <w:p w14:paraId="7BC805BC" w14:textId="0D6FB8DC" w:rsidR="000811CF" w:rsidRDefault="000811CF" w:rsidP="000811CF">
      <w:r>
        <w:rPr>
          <w:rFonts w:hint="eastAsia"/>
        </w:rPr>
        <w:t xml:space="preserve">With respect to the inter-RAT </w:t>
      </w:r>
      <w:r>
        <w:t>mobility</w:t>
      </w:r>
      <w:r>
        <w:rPr>
          <w:rFonts w:hint="eastAsia"/>
        </w:rPr>
        <w:t xml:space="preserve">, in RAN3, it has been agreed to support LTE-NR handover through LTE-NR interface function [1] which provides means for LTE-NR handover via direct interface between an eLTE eNB and a NR </w:t>
      </w:r>
      <w:r w:rsidR="00821A06">
        <w:t>gNB</w:t>
      </w:r>
      <w:r>
        <w:rPr>
          <w:rFonts w:hint="eastAsia"/>
        </w:rPr>
        <w:t>. In addition, eLTE eNB is defined in RAN3 as the evolution of eNB that supports connectivity to EPC and NG-Core.</w:t>
      </w:r>
    </w:p>
    <w:p w14:paraId="6F4B6276" w14:textId="104185FA" w:rsidR="00707CE9" w:rsidRDefault="000811CF" w:rsidP="00707CE9">
      <w:r w:rsidRPr="004F0D2C">
        <w:t>In this contribution,</w:t>
      </w:r>
      <w:r>
        <w:rPr>
          <w:rFonts w:hint="eastAsia"/>
        </w:rPr>
        <w:t xml:space="preserve"> </w:t>
      </w:r>
      <w:r w:rsidR="00101232">
        <w:t xml:space="preserve">the inter-RAT measurement which is needed for UE to handover from LTE/NR to NR/LTE </w:t>
      </w:r>
      <w:r w:rsidR="00821A06">
        <w:t>or</w:t>
      </w:r>
      <w:r w:rsidR="00101232">
        <w:t xml:space="preserve"> to setup dual connectivity between LTE and NR</w:t>
      </w:r>
      <w:r>
        <w:rPr>
          <w:rFonts w:hint="eastAsia"/>
        </w:rPr>
        <w:t xml:space="preserve"> will be </w:t>
      </w:r>
      <w:r>
        <w:t>discussed</w:t>
      </w:r>
      <w:r>
        <w:rPr>
          <w:rFonts w:hint="eastAsia"/>
        </w:rPr>
        <w:t xml:space="preserve"> from RAN2 perspective in </w:t>
      </w:r>
      <w:r>
        <w:t>different</w:t>
      </w:r>
      <w:r>
        <w:rPr>
          <w:rFonts w:hint="eastAsia"/>
        </w:rPr>
        <w:t xml:space="preserve"> scenarios and some proposals will be provided.</w:t>
      </w:r>
    </w:p>
    <w:p w14:paraId="3CBD6FAF" w14:textId="34AA380F" w:rsidR="00691591" w:rsidRPr="00101232" w:rsidRDefault="00691591" w:rsidP="00707CE9">
      <w:r>
        <w:t xml:space="preserve">This paper is a re-submission of </w:t>
      </w:r>
      <w:hyperlink r:id="rId13" w:history="1">
        <w:r w:rsidRPr="00343B67">
          <w:rPr>
            <w:rStyle w:val="Hyperlink"/>
          </w:rPr>
          <w:t>R2-168725</w:t>
        </w:r>
      </w:hyperlink>
      <w:r>
        <w:rPr>
          <w:rStyle w:val="Hyperlink"/>
        </w:rPr>
        <w:t>.</w:t>
      </w:r>
    </w:p>
    <w:p w14:paraId="1478E5B1" w14:textId="73B3C614" w:rsidR="00A1679C" w:rsidRDefault="00A1679C" w:rsidP="004141DD">
      <w:pPr>
        <w:pStyle w:val="Heading1"/>
      </w:pPr>
      <w:r>
        <w:t>Discussion</w:t>
      </w:r>
    </w:p>
    <w:p w14:paraId="3EAEC037" w14:textId="00D2678E" w:rsidR="00821A06" w:rsidRDefault="00DE7F38" w:rsidP="00A1679C">
      <w:r>
        <w:t>The inter-RAT measurement is the prerequisite before performing handover or dual connectivity setup. NW need to configure UE what to measure, how to measure</w:t>
      </w:r>
      <w:r w:rsidR="00763E56">
        <w:t>, when to report</w:t>
      </w:r>
      <w:r>
        <w:t xml:space="preserve"> and how to report. </w:t>
      </w:r>
      <w:r w:rsidR="00821A06">
        <w:t xml:space="preserve">The configuration related to inter-RAT measurement is related to the scenario, i.e. it depends on whether UE handover from LTE to NR or from NR to LTE, or whether UE is anchoring at LTE and need to add </w:t>
      </w:r>
      <w:r w:rsidR="00517BE0">
        <w:t xml:space="preserve">a second leg of </w:t>
      </w:r>
      <w:r w:rsidR="00821A06">
        <w:t xml:space="preserve">NR or UE is anchoring at NR and need to add </w:t>
      </w:r>
      <w:r w:rsidR="00517BE0">
        <w:t xml:space="preserve">a second leg of </w:t>
      </w:r>
      <w:r w:rsidR="00821A06">
        <w:t xml:space="preserve">LTE. </w:t>
      </w:r>
    </w:p>
    <w:p w14:paraId="6DF16DFA" w14:textId="66520028" w:rsidR="00821A06" w:rsidRDefault="00B1159C" w:rsidP="00A1679C">
      <w:r>
        <w:t xml:space="preserve">For NR to LTE handover, or setup LTE leg when UE is anchoring in NR, it is NR gNB to configure UE what to measure, how to measure and how to report. The purpose of this inter-RAT measurement is to find LTE cell/carrier, the measurement configuration/reporting method defined in LTE can be reused in NR. As the current assumption is that RRC in NR will be based on RRC in LTE, it is not a problem to include LTE related measurement configuration/reporting information element into NR RRC spec. </w:t>
      </w:r>
    </w:p>
    <w:p w14:paraId="032F4D73" w14:textId="0A5D6D3D" w:rsidR="005008F7" w:rsidRDefault="00B1159C" w:rsidP="00A1679C">
      <w:r>
        <w:t xml:space="preserve">For LTE to NR handover, or setup NR </w:t>
      </w:r>
      <w:r w:rsidR="00517BE0">
        <w:t xml:space="preserve">second </w:t>
      </w:r>
      <w:r>
        <w:t xml:space="preserve">leg when UE is anchoring in LTE, it is LTE eNB to configure UE what to measure, how to measure and how to report. The purpose of this inter-RAT measurement is to find NR carrier/cell/beam, then </w:t>
      </w:r>
      <w:r w:rsidR="00696E1B">
        <w:t xml:space="preserve">the measurement configuration in </w:t>
      </w:r>
      <w:r>
        <w:t xml:space="preserve">LTE RRC </w:t>
      </w:r>
      <w:r w:rsidR="00696E1B">
        <w:t>need to conform to</w:t>
      </w:r>
      <w:r w:rsidR="005008F7">
        <w:t xml:space="preserve"> what is defined in NR. </w:t>
      </w:r>
    </w:p>
    <w:p w14:paraId="126F1FB7" w14:textId="77777777" w:rsidR="002077AB" w:rsidRDefault="005008F7" w:rsidP="00A1679C">
      <w:r>
        <w:t xml:space="preserve">It may be a bit early to decide what kind of measurement object to be included in LTE spec for NR measurement. </w:t>
      </w:r>
    </w:p>
    <w:p w14:paraId="2412E9BD" w14:textId="3FC06DF8" w:rsidR="005008F7" w:rsidRDefault="002077AB" w:rsidP="00E4786D">
      <w:r>
        <w:t xml:space="preserve">The below are the measurement object defined in LTE spec for WCDMA, and LTE itself. </w:t>
      </w:r>
    </w:p>
    <w:p w14:paraId="50A3EFA8" w14:textId="5F36CC7E" w:rsidR="005008F7" w:rsidRDefault="005008F7" w:rsidP="005008F7">
      <w:r>
        <w:t>MeasObjectUTRA</w:t>
      </w:r>
    </w:p>
    <w:p w14:paraId="1381782F" w14:textId="232FA357" w:rsidR="005008F7" w:rsidRPr="00D05729" w:rsidRDefault="002077AB" w:rsidP="005008F7">
      <w:pPr>
        <w:pStyle w:val="PL"/>
        <w:shd w:val="clear" w:color="auto" w:fill="E6E6E6"/>
      </w:pPr>
      <w:r>
        <w:t xml:space="preserve">    </w:t>
      </w:r>
      <w:r w:rsidR="005008F7" w:rsidRPr="00D05729">
        <w:t>carrierFreq</w:t>
      </w:r>
      <w:r w:rsidR="005008F7" w:rsidRPr="00D05729">
        <w:tab/>
      </w:r>
      <w:r w:rsidR="005008F7" w:rsidRPr="00D05729">
        <w:tab/>
      </w:r>
      <w:r w:rsidR="005008F7" w:rsidRPr="00D05729">
        <w:tab/>
      </w:r>
      <w:r w:rsidR="005008F7" w:rsidRPr="00D05729">
        <w:tab/>
      </w:r>
      <w:r w:rsidR="005008F7" w:rsidRPr="00D05729">
        <w:tab/>
      </w:r>
      <w:r w:rsidR="005008F7" w:rsidRPr="00D05729">
        <w:tab/>
      </w:r>
      <w:r w:rsidR="005008F7" w:rsidRPr="00D05729">
        <w:tab/>
        <w:t>ARFCN-ValueUTRA,</w:t>
      </w:r>
    </w:p>
    <w:p w14:paraId="68EC69CE" w14:textId="2FB6C9F9" w:rsidR="005008F7" w:rsidRPr="00D05729" w:rsidRDefault="002077AB" w:rsidP="005008F7">
      <w:pPr>
        <w:pStyle w:val="PL"/>
        <w:shd w:val="clear" w:color="auto" w:fill="E6E6E6"/>
      </w:pPr>
      <w:r>
        <w:t xml:space="preserve">    </w:t>
      </w:r>
      <w:r w:rsidR="005008F7" w:rsidRPr="00D05729">
        <w:t>offsetFreq</w:t>
      </w:r>
      <w:r w:rsidR="005008F7" w:rsidRPr="00D05729">
        <w:tab/>
      </w:r>
      <w:r w:rsidR="005008F7" w:rsidRPr="00D05729">
        <w:tab/>
      </w:r>
      <w:r w:rsidR="005008F7" w:rsidRPr="00D05729">
        <w:tab/>
      </w:r>
      <w:r w:rsidR="005008F7" w:rsidRPr="00D05729">
        <w:tab/>
      </w:r>
      <w:r w:rsidR="005008F7" w:rsidRPr="00D05729">
        <w:tab/>
      </w:r>
      <w:r w:rsidR="005008F7" w:rsidRPr="00D05729">
        <w:tab/>
        <w:t>Q-OffsetRangeInterRAT</w:t>
      </w:r>
      <w:r w:rsidR="005008F7" w:rsidRPr="00D05729">
        <w:tab/>
      </w:r>
      <w:r w:rsidR="005008F7" w:rsidRPr="00D05729">
        <w:tab/>
        <w:t>DEFAULT 0,</w:t>
      </w:r>
    </w:p>
    <w:p w14:paraId="2178670A" w14:textId="1A456336" w:rsidR="005008F7" w:rsidRDefault="005008F7" w:rsidP="005008F7">
      <w:pPr>
        <w:rPr>
          <w:lang w:val="en-US"/>
        </w:rPr>
      </w:pPr>
      <w:r>
        <w:rPr>
          <w:lang w:val="en-US"/>
        </w:rPr>
        <w:t>MeasObjectEUTRA</w:t>
      </w:r>
    </w:p>
    <w:p w14:paraId="52C8EEA7" w14:textId="31D0AF3D" w:rsidR="005008F7" w:rsidRPr="00D05729" w:rsidRDefault="005008F7" w:rsidP="005008F7">
      <w:pPr>
        <w:pStyle w:val="PL"/>
        <w:shd w:val="clear" w:color="auto" w:fill="E6E6E6"/>
      </w:pPr>
      <w:r>
        <w:lastRenderedPageBreak/>
        <w:t xml:space="preserve">    </w:t>
      </w:r>
      <w:r w:rsidRPr="00D05729">
        <w:t>carrierFreq</w:t>
      </w:r>
      <w:r w:rsidRPr="00D05729">
        <w:tab/>
      </w:r>
      <w:r w:rsidRPr="00D05729">
        <w:tab/>
      </w:r>
      <w:r w:rsidRPr="00D05729">
        <w:tab/>
      </w:r>
      <w:r w:rsidRPr="00D05729">
        <w:tab/>
      </w:r>
      <w:r w:rsidRPr="00D05729">
        <w:tab/>
      </w:r>
      <w:r w:rsidRPr="00D05729">
        <w:tab/>
      </w:r>
      <w:r w:rsidRPr="00D05729">
        <w:tab/>
        <w:t>ARFCN-ValueEUTRA,</w:t>
      </w:r>
    </w:p>
    <w:p w14:paraId="01784BB9" w14:textId="77777777" w:rsidR="005008F7" w:rsidRPr="00D05729" w:rsidRDefault="005008F7" w:rsidP="005008F7">
      <w:pPr>
        <w:pStyle w:val="PL"/>
        <w:shd w:val="clear" w:color="auto" w:fill="E6E6E6"/>
      </w:pPr>
      <w:r w:rsidRPr="00D05729">
        <w:tab/>
        <w:t>allowedMeasBandwidth</w:t>
      </w:r>
      <w:r w:rsidRPr="00D05729">
        <w:tab/>
      </w:r>
      <w:r w:rsidRPr="00D05729">
        <w:tab/>
      </w:r>
      <w:r w:rsidRPr="00D05729">
        <w:tab/>
      </w:r>
      <w:r w:rsidRPr="00D05729">
        <w:tab/>
        <w:t>AllowedMeasBandwidth,</w:t>
      </w:r>
    </w:p>
    <w:p w14:paraId="7EFD9D85" w14:textId="77777777" w:rsidR="005008F7" w:rsidRPr="00D05729" w:rsidRDefault="005008F7" w:rsidP="005008F7">
      <w:pPr>
        <w:pStyle w:val="PL"/>
        <w:shd w:val="clear" w:color="auto" w:fill="E6E6E6"/>
      </w:pPr>
      <w:r w:rsidRPr="00D05729">
        <w:tab/>
        <w:t>presenceAntennaPort1</w:t>
      </w:r>
      <w:r w:rsidRPr="00D05729">
        <w:tab/>
      </w:r>
      <w:r w:rsidRPr="00D05729">
        <w:tab/>
      </w:r>
      <w:r w:rsidRPr="00D05729">
        <w:tab/>
      </w:r>
      <w:r w:rsidRPr="00D05729">
        <w:tab/>
        <w:t>PresenceAntennaPort1,</w:t>
      </w:r>
    </w:p>
    <w:p w14:paraId="6290E2B0" w14:textId="77777777" w:rsidR="005008F7" w:rsidRPr="00D05729" w:rsidRDefault="005008F7" w:rsidP="005008F7">
      <w:pPr>
        <w:pStyle w:val="PL"/>
        <w:shd w:val="clear" w:color="auto" w:fill="E6E6E6"/>
      </w:pPr>
      <w:r w:rsidRPr="00D05729">
        <w:tab/>
        <w:t>neighCellConfig</w:t>
      </w:r>
      <w:r w:rsidRPr="00D05729">
        <w:tab/>
      </w:r>
      <w:r w:rsidRPr="00D05729">
        <w:tab/>
      </w:r>
      <w:r w:rsidRPr="00D05729">
        <w:tab/>
      </w:r>
      <w:r w:rsidRPr="00D05729">
        <w:tab/>
      </w:r>
      <w:r w:rsidRPr="00D05729">
        <w:tab/>
      </w:r>
      <w:r w:rsidRPr="00D05729">
        <w:tab/>
        <w:t>NeighCellConfig,</w:t>
      </w:r>
    </w:p>
    <w:p w14:paraId="6B556A67" w14:textId="77777777" w:rsidR="005008F7" w:rsidRDefault="005008F7" w:rsidP="005008F7">
      <w:pPr>
        <w:pStyle w:val="PL"/>
        <w:shd w:val="clear" w:color="auto" w:fill="E6E6E6"/>
      </w:pPr>
      <w:r w:rsidRPr="00D05729">
        <w:tab/>
        <w:t>offsetFreq</w:t>
      </w:r>
      <w:r w:rsidRPr="00D05729">
        <w:tab/>
      </w:r>
      <w:r w:rsidRPr="00D05729">
        <w:tab/>
      </w:r>
      <w:r w:rsidRPr="00D05729">
        <w:tab/>
      </w:r>
      <w:r w:rsidRPr="00D05729">
        <w:tab/>
      </w:r>
      <w:r w:rsidRPr="00D05729">
        <w:tab/>
      </w:r>
      <w:r w:rsidRPr="00D05729">
        <w:tab/>
      </w:r>
      <w:r w:rsidRPr="00D05729">
        <w:tab/>
        <w:t>Q-OffsetRange</w:t>
      </w:r>
      <w:r>
        <w:t xml:space="preserve"> </w:t>
      </w:r>
    </w:p>
    <w:p w14:paraId="5DBC166C" w14:textId="728CCA04" w:rsidR="002077AB" w:rsidRDefault="002077AB" w:rsidP="002077AB">
      <w:r>
        <w:t>Furthermore, the following have been agreed in RAN2</w:t>
      </w:r>
    </w:p>
    <w:p w14:paraId="13B50F2B" w14:textId="77777777" w:rsidR="002077AB" w:rsidRDefault="002077AB" w:rsidP="002077AB">
      <w:pPr>
        <w:pStyle w:val="Doc-text2"/>
        <w:pBdr>
          <w:top w:val="single" w:sz="4" w:space="1" w:color="auto"/>
          <w:left w:val="single" w:sz="4" w:space="4" w:color="auto"/>
          <w:bottom w:val="single" w:sz="4" w:space="1" w:color="auto"/>
          <w:right w:val="single" w:sz="4" w:space="4" w:color="auto"/>
        </w:pBdr>
      </w:pPr>
      <w:r>
        <w:t>1</w:t>
      </w:r>
      <w:r>
        <w:tab/>
        <w:t>In connected active we are able to use non-UE specific RS for measurements (UE may not need to be aware whether the RS is UE-specific or non-UE specific)</w:t>
      </w:r>
    </w:p>
    <w:p w14:paraId="2413A79C" w14:textId="77777777" w:rsidR="002077AB" w:rsidRDefault="002077AB" w:rsidP="002077AB">
      <w:pPr>
        <w:pStyle w:val="Doc-text2"/>
        <w:pBdr>
          <w:top w:val="single" w:sz="4" w:space="1" w:color="auto"/>
          <w:left w:val="single" w:sz="4" w:space="4" w:color="auto"/>
          <w:bottom w:val="single" w:sz="4" w:space="1" w:color="auto"/>
          <w:right w:val="single" w:sz="4" w:space="4" w:color="auto"/>
        </w:pBdr>
      </w:pPr>
    </w:p>
    <w:p w14:paraId="2111CDFC" w14:textId="77777777" w:rsidR="002077AB" w:rsidRDefault="002077AB" w:rsidP="002077AB">
      <w:pPr>
        <w:pStyle w:val="Doc-text2"/>
        <w:pBdr>
          <w:top w:val="single" w:sz="4" w:space="1" w:color="auto"/>
          <w:left w:val="single" w:sz="4" w:space="4" w:color="auto"/>
          <w:bottom w:val="single" w:sz="4" w:space="1" w:color="auto"/>
          <w:right w:val="single" w:sz="4" w:space="4" w:color="auto"/>
        </w:pBdr>
      </w:pPr>
      <w:r>
        <w:t>2</w:t>
      </w:r>
      <w:r>
        <w:tab/>
        <w:t xml:space="preserve">The </w:t>
      </w:r>
      <w:r w:rsidRPr="005C6DB6">
        <w:t xml:space="preserve">non-UE specific RS </w:t>
      </w:r>
      <w:r>
        <w:t>can be found by the UE without much configuration</w:t>
      </w:r>
    </w:p>
    <w:p w14:paraId="7583D62B" w14:textId="77777777" w:rsidR="002077AB" w:rsidRPr="00E4786D" w:rsidRDefault="002077AB" w:rsidP="005008F7"/>
    <w:p w14:paraId="544FF3B6" w14:textId="6CF1D2C3" w:rsidR="005008F7" w:rsidRDefault="00C1559C" w:rsidP="005008F7">
      <w:pPr>
        <w:rPr>
          <w:lang w:val="en-US"/>
        </w:rPr>
      </w:pPr>
      <w:r>
        <w:rPr>
          <w:lang w:val="en-US"/>
        </w:rPr>
        <w:t xml:space="preserve">It is quite reasonable to assume the measurement object for NR defined in LTE spec need to include </w:t>
      </w:r>
      <w:r w:rsidR="002077AB">
        <w:rPr>
          <w:lang w:val="en-US"/>
        </w:rPr>
        <w:t xml:space="preserve">at least </w:t>
      </w:r>
      <w:r>
        <w:rPr>
          <w:lang w:val="en-US"/>
        </w:rPr>
        <w:t>carrier frequency and frequency offset.</w:t>
      </w:r>
    </w:p>
    <w:p w14:paraId="2924B5B4" w14:textId="77777777" w:rsidR="00670F3F" w:rsidRDefault="00670F3F" w:rsidP="00670F3F">
      <w:pPr>
        <w:rPr>
          <w:lang w:val="en-US"/>
        </w:rPr>
      </w:pPr>
      <w:r>
        <w:rPr>
          <w:lang w:val="en-US"/>
        </w:rPr>
        <w:t>Regarding measure trigger, i.e when to send measurement report, in LTE, there are already two events defined for inter-RAT mobility, event B1 and B2.</w:t>
      </w:r>
    </w:p>
    <w:p w14:paraId="005B7417" w14:textId="77777777" w:rsidR="00670F3F" w:rsidRPr="00D05729" w:rsidRDefault="00670F3F" w:rsidP="00670F3F">
      <w:pPr>
        <w:pStyle w:val="B1"/>
        <w:keepNext/>
        <w:keepLines/>
        <w:ind w:left="1418" w:hanging="1134"/>
      </w:pPr>
      <w:r w:rsidRPr="00D05729">
        <w:t>Event B1:</w:t>
      </w:r>
      <w:r w:rsidRPr="00D05729">
        <w:tab/>
        <w:t>Neighbour becomes better than absolute threshold;</w:t>
      </w:r>
    </w:p>
    <w:p w14:paraId="4F814496" w14:textId="77777777" w:rsidR="00670F3F" w:rsidRPr="00D05729" w:rsidRDefault="00670F3F" w:rsidP="00670F3F">
      <w:pPr>
        <w:pStyle w:val="B1"/>
        <w:keepNext/>
        <w:keepLines/>
        <w:ind w:left="1418" w:hanging="1134"/>
      </w:pPr>
      <w:r w:rsidRPr="00D05729">
        <w:t>Event B2:</w:t>
      </w:r>
      <w:r w:rsidRPr="00D05729">
        <w:tab/>
        <w:t>PCell becomes worse than absolute threshold1 AND Neighbour becomes better than another absolute threshold2.</w:t>
      </w:r>
    </w:p>
    <w:p w14:paraId="2D310B1B" w14:textId="77777777" w:rsidR="00670F3F" w:rsidRDefault="00670F3F" w:rsidP="00670F3F">
      <w:commentRangeStart w:id="6"/>
      <w:r>
        <w:t>It seems enough to reuse such events</w:t>
      </w:r>
      <w:commentRangeEnd w:id="6"/>
      <w:r w:rsidR="00F82D97">
        <w:rPr>
          <w:rStyle w:val="CommentReference"/>
        </w:rPr>
        <w:commentReference w:id="6"/>
      </w:r>
      <w:r>
        <w:t>. In this point of time, it is not clear if events including relative comparison can be used (such as A3 event) as it is not known if the measurement results of LTE and NR are comparable.</w:t>
      </w:r>
    </w:p>
    <w:p w14:paraId="4D83E027" w14:textId="77777777" w:rsidR="00670F3F" w:rsidRDefault="00670F3F" w:rsidP="00670F3F">
      <w:r>
        <w:t>Regarding the trigger quality and the report quality, in LTE, the metrics are RSRP , RSRQ and SINR . As NR DL physical layer will still be based on CP-OFDM, it seems reasonable to assume RSRP and RSRQ is still the metric used for NR.</w:t>
      </w:r>
    </w:p>
    <w:p w14:paraId="573B0DBC" w14:textId="52AFFC90" w:rsidR="00670F3F" w:rsidRPr="00E4786D" w:rsidRDefault="00670F3F" w:rsidP="00E4786D">
      <w:pPr>
        <w:pStyle w:val="Observation"/>
        <w:ind w:left="1701" w:hanging="1701"/>
      </w:pPr>
      <w:bookmarkStart w:id="7" w:name="_Toc347822666"/>
      <w:bookmarkStart w:id="8" w:name="_Toc347823812"/>
      <w:bookmarkStart w:id="9" w:name="_Toc347823993"/>
      <w:bookmarkStart w:id="10" w:name="_Toc347824244"/>
      <w:r>
        <w:rPr>
          <w:lang w:val="en-US"/>
        </w:rPr>
        <w:t>The measurement object, trigger event and measurement quality defined in LTE is a good basis for inter-RAT mobility from LTE(NR) to NR(LTE)</w:t>
      </w:r>
      <w:bookmarkEnd w:id="7"/>
      <w:r>
        <w:t>.</w:t>
      </w:r>
      <w:bookmarkEnd w:id="8"/>
      <w:bookmarkEnd w:id="9"/>
      <w:bookmarkEnd w:id="10"/>
    </w:p>
    <w:p w14:paraId="41FFB22B" w14:textId="5AA9A545" w:rsidR="00891777" w:rsidRDefault="00B52CAA" w:rsidP="00547755">
      <w:pPr>
        <w:rPr>
          <w:lang w:val="en-US"/>
        </w:rPr>
      </w:pPr>
      <w:r>
        <w:rPr>
          <w:lang w:val="en-US"/>
        </w:rPr>
        <w:t>One issue need to pay attention to is the new</w:t>
      </w:r>
      <w:r w:rsidR="00C1559C">
        <w:rPr>
          <w:lang w:val="en-US"/>
        </w:rPr>
        <w:t xml:space="preserve"> </w:t>
      </w:r>
      <w:r>
        <w:rPr>
          <w:lang w:val="en-US"/>
        </w:rPr>
        <w:t>RS</w:t>
      </w:r>
      <w:r w:rsidR="00C1559C">
        <w:rPr>
          <w:lang w:val="en-US"/>
        </w:rPr>
        <w:t xml:space="preserve"> (reference signal)</w:t>
      </w:r>
      <w:r>
        <w:rPr>
          <w:lang w:val="en-US"/>
        </w:rPr>
        <w:t xml:space="preserve"> design in NR compared to LTE. </w:t>
      </w:r>
      <w:r w:rsidR="00C47DF1">
        <w:rPr>
          <w:lang w:val="en-US"/>
        </w:rPr>
        <w:t xml:space="preserve">In LTE, </w:t>
      </w:r>
      <w:r>
        <w:rPr>
          <w:lang w:val="en-US"/>
        </w:rPr>
        <w:t xml:space="preserve">the measured RS, CRS, </w:t>
      </w:r>
      <w:r w:rsidR="00C47DF1">
        <w:rPr>
          <w:lang w:val="en-US"/>
        </w:rPr>
        <w:t>is in every subframe</w:t>
      </w:r>
      <w:r>
        <w:rPr>
          <w:lang w:val="en-US"/>
        </w:rPr>
        <w:t xml:space="preserve">, and PSS/SSS is in </w:t>
      </w:r>
      <w:r w:rsidR="001949D4">
        <w:rPr>
          <w:lang w:val="en-US"/>
        </w:rPr>
        <w:t xml:space="preserve">subframe </w:t>
      </w:r>
      <w:r>
        <w:rPr>
          <w:lang w:val="en-US"/>
        </w:rPr>
        <w:t>every 5 ms</w:t>
      </w:r>
      <w:r w:rsidR="00C47DF1">
        <w:rPr>
          <w:lang w:val="en-US"/>
        </w:rPr>
        <w:t xml:space="preserve">. </w:t>
      </w:r>
      <w:r>
        <w:rPr>
          <w:lang w:val="en-US"/>
        </w:rPr>
        <w:t xml:space="preserve">In NR, the current agreement in RAN1 is that the RS </w:t>
      </w:r>
      <w:r w:rsidR="004B1EB0">
        <w:rPr>
          <w:lang w:val="en-US"/>
        </w:rPr>
        <w:t>can</w:t>
      </w:r>
      <w:r>
        <w:rPr>
          <w:lang w:val="en-US"/>
        </w:rPr>
        <w:t xml:space="preserve"> be </w:t>
      </w:r>
      <w:r w:rsidR="004B1EB0">
        <w:rPr>
          <w:lang w:val="en-US"/>
        </w:rPr>
        <w:t>rather</w:t>
      </w:r>
      <w:r>
        <w:rPr>
          <w:lang w:val="en-US"/>
        </w:rPr>
        <w:t xml:space="preserve"> sparse. </w:t>
      </w:r>
      <w:r w:rsidR="00891777">
        <w:rPr>
          <w:lang w:val="en-US"/>
        </w:rPr>
        <w:t xml:space="preserve">For single radio Tx/Rx UE, NW will configure UE a measurement GAP in which UE switch its radio from one RAT to another to measure the radio quality of neighbor node from other RAT. If this measurement GAP configured by LTE serving node does not conform with the RS transmission pattern from neighbor NR, UE can not detect NR neighbor node/cell/beam at all. Therefore, it is the NW responsibility to make sure </w:t>
      </w:r>
      <w:r w:rsidR="00F25964">
        <w:rPr>
          <w:lang w:val="en-US"/>
        </w:rPr>
        <w:t xml:space="preserve">at least some of </w:t>
      </w:r>
      <w:r w:rsidR="00891777">
        <w:rPr>
          <w:lang w:val="en-US"/>
        </w:rPr>
        <w:t xml:space="preserve">the measurement GAP contains the RS transmission occasion from neighbor </w:t>
      </w:r>
      <w:r w:rsidR="00670F3F">
        <w:rPr>
          <w:lang w:val="en-US"/>
        </w:rPr>
        <w:t>NR</w:t>
      </w:r>
      <w:r w:rsidR="00F25964">
        <w:rPr>
          <w:lang w:val="en-US"/>
        </w:rPr>
        <w:t>.</w:t>
      </w:r>
      <w:r w:rsidR="00891777">
        <w:rPr>
          <w:lang w:val="en-US"/>
        </w:rPr>
        <w:t xml:space="preserve">   </w:t>
      </w:r>
    </w:p>
    <w:p w14:paraId="0BC45FDE" w14:textId="39363DEE" w:rsidR="00891777" w:rsidRPr="00891777" w:rsidRDefault="00891777" w:rsidP="00547755">
      <w:pPr>
        <w:pStyle w:val="Proposal"/>
        <w:numPr>
          <w:ilvl w:val="0"/>
          <w:numId w:val="3"/>
        </w:numPr>
        <w:rPr>
          <w:lang w:val="en-US"/>
        </w:rPr>
      </w:pPr>
      <w:r>
        <w:rPr>
          <w:lang w:val="en-US"/>
        </w:rPr>
        <w:t xml:space="preserve">For inter-RAT mobility from LTE to NR, if measurement GAP is needed, </w:t>
      </w:r>
      <w:r w:rsidR="00F25964">
        <w:rPr>
          <w:lang w:val="en-US"/>
        </w:rPr>
        <w:t xml:space="preserve">at least some of </w:t>
      </w:r>
      <w:r>
        <w:rPr>
          <w:lang w:val="en-US"/>
        </w:rPr>
        <w:t xml:space="preserve">measurement GAP needs to </w:t>
      </w:r>
      <w:r w:rsidR="00F25964">
        <w:rPr>
          <w:lang w:val="en-US"/>
        </w:rPr>
        <w:t>match</w:t>
      </w:r>
      <w:r>
        <w:rPr>
          <w:lang w:val="en-US"/>
        </w:rPr>
        <w:t xml:space="preserve"> the RS transmission occasion from neighbor </w:t>
      </w:r>
      <w:r w:rsidR="00670F3F">
        <w:rPr>
          <w:lang w:val="en-US"/>
        </w:rPr>
        <w:t>NR</w:t>
      </w:r>
      <w:r>
        <w:rPr>
          <w:lang w:val="en-US"/>
        </w:rPr>
        <w:t>.</w:t>
      </w:r>
    </w:p>
    <w:p w14:paraId="1342447F" w14:textId="6167F936" w:rsidR="00C47DF1" w:rsidRDefault="00891777" w:rsidP="00547755">
      <w:pPr>
        <w:rPr>
          <w:lang w:val="en-US"/>
        </w:rPr>
      </w:pPr>
      <w:r>
        <w:rPr>
          <w:lang w:val="en-US"/>
        </w:rPr>
        <w:t xml:space="preserve">For dual radio Tx/Rx UE, measurement GAP is not </w:t>
      </w:r>
      <w:r w:rsidR="004B1EB0">
        <w:rPr>
          <w:lang w:val="en-US"/>
        </w:rPr>
        <w:t xml:space="preserve">necessarily </w:t>
      </w:r>
      <w:r>
        <w:rPr>
          <w:lang w:val="en-US"/>
        </w:rPr>
        <w:t xml:space="preserve">needed. </w:t>
      </w:r>
      <w:r w:rsidR="007331B9">
        <w:rPr>
          <w:lang w:val="en-US"/>
        </w:rPr>
        <w:t>UE can start to measure neighbor RAT once it receive</w:t>
      </w:r>
      <w:r w:rsidR="00670F3F">
        <w:rPr>
          <w:lang w:val="en-US"/>
        </w:rPr>
        <w:t>s</w:t>
      </w:r>
      <w:r w:rsidR="007331B9">
        <w:rPr>
          <w:lang w:val="en-US"/>
        </w:rPr>
        <w:t xml:space="preserve"> RRC measurement configuration signaling. Since the RS from NR would be very sparse, </w:t>
      </w:r>
      <w:r w:rsidR="00B52CAA">
        <w:rPr>
          <w:lang w:val="en-US"/>
        </w:rPr>
        <w:t xml:space="preserve">UE </w:t>
      </w:r>
      <w:r w:rsidR="00C1559C">
        <w:rPr>
          <w:lang w:val="en-US"/>
        </w:rPr>
        <w:t>may</w:t>
      </w:r>
      <w:r w:rsidR="00C47DF1">
        <w:rPr>
          <w:lang w:val="en-US"/>
        </w:rPr>
        <w:t xml:space="preserve"> waste </w:t>
      </w:r>
      <w:r w:rsidR="007331B9">
        <w:rPr>
          <w:lang w:val="en-US"/>
        </w:rPr>
        <w:t>its</w:t>
      </w:r>
      <w:r w:rsidR="00C47DF1">
        <w:rPr>
          <w:lang w:val="en-US"/>
        </w:rPr>
        <w:t xml:space="preserve"> battery quite a lot</w:t>
      </w:r>
      <w:r w:rsidR="00C1559C">
        <w:rPr>
          <w:lang w:val="en-US"/>
        </w:rPr>
        <w:t xml:space="preserve"> </w:t>
      </w:r>
      <w:r w:rsidR="007331B9">
        <w:rPr>
          <w:lang w:val="en-US"/>
        </w:rPr>
        <w:t>if</w:t>
      </w:r>
      <w:r w:rsidR="00C1559C">
        <w:rPr>
          <w:lang w:val="en-US"/>
        </w:rPr>
        <w:t xml:space="preserve"> the RS come quite late</w:t>
      </w:r>
      <w:r w:rsidR="00C47DF1">
        <w:rPr>
          <w:lang w:val="en-US"/>
        </w:rPr>
        <w:t xml:space="preserve">. Therefore </w:t>
      </w:r>
      <w:r w:rsidR="007331B9">
        <w:rPr>
          <w:lang w:val="en-US"/>
        </w:rPr>
        <w:t xml:space="preserve">it would be very beneficial to </w:t>
      </w:r>
      <w:r w:rsidR="00C47DF1">
        <w:rPr>
          <w:lang w:val="en-US"/>
        </w:rPr>
        <w:t xml:space="preserve">include </w:t>
      </w:r>
      <w:r w:rsidR="00B87C43">
        <w:rPr>
          <w:lang w:val="en-US"/>
        </w:rPr>
        <w:t>a</w:t>
      </w:r>
      <w:r w:rsidR="00C47DF1">
        <w:rPr>
          <w:lang w:val="en-US"/>
        </w:rPr>
        <w:t xml:space="preserve"> </w:t>
      </w:r>
      <w:r w:rsidR="001949D4">
        <w:rPr>
          <w:lang w:val="en-US"/>
        </w:rPr>
        <w:t>timing configuration</w:t>
      </w:r>
      <w:r w:rsidR="00C47DF1">
        <w:rPr>
          <w:lang w:val="en-US"/>
        </w:rPr>
        <w:t xml:space="preserve"> </w:t>
      </w:r>
      <w:r w:rsidR="001949D4">
        <w:rPr>
          <w:lang w:val="en-US"/>
        </w:rPr>
        <w:t>to indicate UE when to measure</w:t>
      </w:r>
      <w:r w:rsidR="007331B9">
        <w:rPr>
          <w:lang w:val="en-US"/>
        </w:rPr>
        <w:t xml:space="preserve"> measurement in the measurement configuration</w:t>
      </w:r>
      <w:r w:rsidR="001949D4">
        <w:rPr>
          <w:lang w:val="en-US"/>
        </w:rPr>
        <w:t xml:space="preserve">. This could be </w:t>
      </w:r>
      <w:r w:rsidR="00C47DF1">
        <w:rPr>
          <w:lang w:val="en-US"/>
        </w:rPr>
        <w:t xml:space="preserve">similar to the DMTC (discovery </w:t>
      </w:r>
      <w:r w:rsidR="00B87C43">
        <w:rPr>
          <w:lang w:val="en-US"/>
        </w:rPr>
        <w:t xml:space="preserve">reference signal </w:t>
      </w:r>
      <w:r w:rsidR="00C47DF1">
        <w:rPr>
          <w:lang w:val="en-US"/>
        </w:rPr>
        <w:t>measurement timing configuration) introduced in LTE release 12. Via this measurement timing configuration, UE could know when to measure and in which periodicity.</w:t>
      </w:r>
      <w:r w:rsidR="00D83AB2">
        <w:rPr>
          <w:lang w:val="en-US"/>
        </w:rPr>
        <w:t xml:space="preserve"> </w:t>
      </w:r>
    </w:p>
    <w:p w14:paraId="4A9AF7D6" w14:textId="3149713E" w:rsidR="00C1559C" w:rsidRDefault="00C1559C" w:rsidP="00C1559C">
      <w:pPr>
        <w:pStyle w:val="Proposal"/>
        <w:numPr>
          <w:ilvl w:val="0"/>
          <w:numId w:val="3"/>
        </w:numPr>
        <w:rPr>
          <w:lang w:val="en-US"/>
        </w:rPr>
      </w:pPr>
      <w:r>
        <w:rPr>
          <w:lang w:val="en-US"/>
        </w:rPr>
        <w:t xml:space="preserve">For inter-RAT mobility from LTE to NR, </w:t>
      </w:r>
      <w:r w:rsidR="007331B9">
        <w:rPr>
          <w:lang w:val="en-US"/>
        </w:rPr>
        <w:t>even</w:t>
      </w:r>
      <w:r w:rsidR="00F82D97">
        <w:rPr>
          <w:lang w:val="en-US"/>
        </w:rPr>
        <w:t xml:space="preserve"> when</w:t>
      </w:r>
      <w:r w:rsidR="007331B9">
        <w:rPr>
          <w:lang w:val="en-US"/>
        </w:rPr>
        <w:t xml:space="preserve"> measurement GAP is not needed, </w:t>
      </w:r>
      <w:r>
        <w:rPr>
          <w:lang w:val="en-US"/>
        </w:rPr>
        <w:t xml:space="preserve">the measurement configuration </w:t>
      </w:r>
      <w:r w:rsidR="00891777">
        <w:rPr>
          <w:lang w:val="en-US"/>
        </w:rPr>
        <w:t>c</w:t>
      </w:r>
      <w:r>
        <w:rPr>
          <w:lang w:val="en-US"/>
        </w:rPr>
        <w:t xml:space="preserve">ould </w:t>
      </w:r>
      <w:r w:rsidR="007331B9">
        <w:rPr>
          <w:lang w:val="en-US"/>
        </w:rPr>
        <w:t xml:space="preserve">still </w:t>
      </w:r>
      <w:r>
        <w:rPr>
          <w:lang w:val="en-US"/>
        </w:rPr>
        <w:t xml:space="preserve">include a </w:t>
      </w:r>
      <w:r w:rsidR="001949D4">
        <w:rPr>
          <w:lang w:val="en-US"/>
        </w:rPr>
        <w:t>timing configuration</w:t>
      </w:r>
      <w:r w:rsidR="00670F3F">
        <w:rPr>
          <w:lang w:val="en-US"/>
        </w:rPr>
        <w:t>, like DMTC in LTE R12</w:t>
      </w:r>
      <w:r>
        <w:rPr>
          <w:lang w:val="en-US"/>
        </w:rPr>
        <w:t xml:space="preserve"> to easy UE measurement.</w:t>
      </w:r>
    </w:p>
    <w:p w14:paraId="56D8D1DD" w14:textId="468F5956" w:rsidR="006A39E2" w:rsidRDefault="00B01170" w:rsidP="00547755">
      <w:pPr>
        <w:rPr>
          <w:lang w:val="en-US"/>
        </w:rPr>
      </w:pPr>
      <w:r>
        <w:rPr>
          <w:lang w:val="en-US"/>
        </w:rPr>
        <w:t xml:space="preserve">One drawback with the above measurement is that UE can only get relative accurate results after very long time due to the sparse </w:t>
      </w:r>
      <w:r w:rsidR="00B87C43">
        <w:rPr>
          <w:lang w:val="en-US"/>
        </w:rPr>
        <w:t xml:space="preserve">transmission of </w:t>
      </w:r>
      <w:r>
        <w:rPr>
          <w:lang w:val="en-US"/>
        </w:rPr>
        <w:t>RS</w:t>
      </w:r>
      <w:r w:rsidR="00B87C43">
        <w:rPr>
          <w:lang w:val="en-US"/>
        </w:rPr>
        <w:t xml:space="preserve"> in NR</w:t>
      </w:r>
      <w:r>
        <w:rPr>
          <w:lang w:val="en-US"/>
        </w:rPr>
        <w:t xml:space="preserve">. </w:t>
      </w:r>
      <w:r w:rsidR="00B87C43">
        <w:rPr>
          <w:lang w:val="en-US"/>
        </w:rPr>
        <w:t>If NW want to get measurement results from UE quickly, a</w:t>
      </w:r>
      <w:r>
        <w:rPr>
          <w:lang w:val="en-US"/>
        </w:rPr>
        <w:t xml:space="preserve">nother way to do NR measurement is to let UE measure just in one measurement window but with higher </w:t>
      </w:r>
      <w:r w:rsidR="00B87C43">
        <w:rPr>
          <w:lang w:val="en-US"/>
        </w:rPr>
        <w:t xml:space="preserve">RS </w:t>
      </w:r>
      <w:r>
        <w:rPr>
          <w:lang w:val="en-US"/>
        </w:rPr>
        <w:t xml:space="preserve">density. This could be possible if NR RS can be transmitted on-demand. </w:t>
      </w:r>
      <w:r w:rsidR="006A39E2">
        <w:rPr>
          <w:lang w:val="en-US"/>
        </w:rPr>
        <w:t>Then</w:t>
      </w:r>
      <w:r w:rsidR="00B87C43">
        <w:rPr>
          <w:lang w:val="en-US"/>
        </w:rPr>
        <w:t xml:space="preserve"> LTE</w:t>
      </w:r>
      <w:r w:rsidR="006A39E2">
        <w:rPr>
          <w:lang w:val="en-US"/>
        </w:rPr>
        <w:t xml:space="preserve"> NW can configure UE to measure NR in such specific measurement period</w:t>
      </w:r>
      <w:r w:rsidR="00517BE0">
        <w:rPr>
          <w:lang w:val="en-US"/>
        </w:rPr>
        <w:t xml:space="preserve"> exclusively</w:t>
      </w:r>
      <w:r w:rsidR="00C1559C">
        <w:rPr>
          <w:lang w:val="en-US"/>
        </w:rPr>
        <w:t xml:space="preserve"> with still good </w:t>
      </w:r>
      <w:r w:rsidR="007331B9">
        <w:rPr>
          <w:lang w:val="en-US"/>
        </w:rPr>
        <w:t>accuracy</w:t>
      </w:r>
      <w:r w:rsidR="006A39E2">
        <w:rPr>
          <w:lang w:val="en-US"/>
        </w:rPr>
        <w:t>.</w:t>
      </w:r>
    </w:p>
    <w:p w14:paraId="239992CB" w14:textId="77777777" w:rsidR="004141DD" w:rsidRDefault="004141DD" w:rsidP="004141DD">
      <w:pPr>
        <w:pStyle w:val="TOC1"/>
        <w:ind w:left="0" w:firstLine="0"/>
        <w:rPr>
          <w:b w:val="0"/>
          <w:bCs/>
        </w:rPr>
      </w:pPr>
    </w:p>
    <w:p w14:paraId="339A6C72" w14:textId="77777777" w:rsidR="00D37CB9" w:rsidRDefault="00D37CB9" w:rsidP="004141DD">
      <w:pPr>
        <w:pStyle w:val="Heading1"/>
      </w:pPr>
      <w:r>
        <w:t>Text Proposal</w:t>
      </w:r>
    </w:p>
    <w:p w14:paraId="7E4906DB" w14:textId="2023093E" w:rsidR="00D37CB9" w:rsidRDefault="00D37CB9" w:rsidP="00D37CB9">
      <w:r>
        <w:t>We propose to update the technical report as follows</w:t>
      </w:r>
    </w:p>
    <w:p w14:paraId="50FCBDCB" w14:textId="77777777" w:rsidR="00927DCD" w:rsidRPr="00D53EE3" w:rsidRDefault="00927DCD" w:rsidP="00927DCD">
      <w:pPr>
        <w:pBdr>
          <w:top w:val="single" w:sz="4" w:space="1" w:color="auto"/>
          <w:left w:val="single" w:sz="4" w:space="4" w:color="auto"/>
          <w:bottom w:val="single" w:sz="4" w:space="1" w:color="auto"/>
          <w:right w:val="single" w:sz="4" w:space="4" w:color="auto"/>
        </w:pBdr>
        <w:jc w:val="center"/>
        <w:rPr>
          <w:sz w:val="24"/>
        </w:rPr>
      </w:pPr>
      <w:r w:rsidRPr="00D53EE3">
        <w:rPr>
          <w:sz w:val="24"/>
        </w:rPr>
        <w:t>Beginning of change</w:t>
      </w:r>
    </w:p>
    <w:p w14:paraId="12D93C02" w14:textId="77777777" w:rsidR="00927DCD" w:rsidRDefault="00927DCD" w:rsidP="00D37CB9"/>
    <w:p w14:paraId="0E66482F" w14:textId="77777777" w:rsidR="00D37CB9" w:rsidRDefault="00D37CB9" w:rsidP="00927DCD">
      <w:pPr>
        <w:pStyle w:val="Heading3"/>
        <w:numPr>
          <w:ilvl w:val="0"/>
          <w:numId w:val="0"/>
        </w:numPr>
        <w:ind w:left="720"/>
        <w:rPr>
          <w:lang w:eastAsia="ja-JP"/>
        </w:rPr>
      </w:pPr>
      <w:bookmarkStart w:id="11" w:name="_Toc453622038"/>
      <w:r>
        <w:rPr>
          <w:rFonts w:hint="eastAsia"/>
          <w:lang w:eastAsia="ja-JP"/>
        </w:rPr>
        <w:t>5.5.4</w:t>
      </w:r>
      <w:r>
        <w:rPr>
          <w:rFonts w:hint="eastAsia"/>
          <w:lang w:eastAsia="ja-JP"/>
        </w:rPr>
        <w:tab/>
        <w:t>Measurements</w:t>
      </w:r>
      <w:bookmarkEnd w:id="11"/>
    </w:p>
    <w:p w14:paraId="5CB9EAC5" w14:textId="2846BD71" w:rsidR="00670F3F" w:rsidRDefault="00D37CB9" w:rsidP="00D37CB9">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measurement framework for mobility and other purposes, if any.</w:t>
      </w:r>
    </w:p>
    <w:p w14:paraId="6AF0B1F5" w14:textId="22CFB109" w:rsidR="00670F3F" w:rsidRDefault="00670F3F" w:rsidP="00E4786D">
      <w:pPr>
        <w:rPr>
          <w:lang w:val="en-US"/>
        </w:rPr>
      </w:pPr>
      <w:r>
        <w:rPr>
          <w:lang w:val="en-US"/>
        </w:rPr>
        <w:t>The measurement object, trigger event and measurement quality defined in LTE is a good basis for inter-RAT mobility from LTE to NR.</w:t>
      </w:r>
    </w:p>
    <w:p w14:paraId="20568D7A" w14:textId="14C77971" w:rsidR="00D37CB9" w:rsidRPr="00E4786D" w:rsidRDefault="00AF40E9" w:rsidP="00E4786D">
      <w:r>
        <w:rPr>
          <w:lang w:val="en-US"/>
        </w:rPr>
        <w:t xml:space="preserve">For inter-RAT mobility from LTE to NR, if measurement GAP is needed, measurement GAP needs to match with the RS transmission occasion from neighbor </w:t>
      </w:r>
      <w:r w:rsidR="00670F3F">
        <w:rPr>
          <w:lang w:val="en-US"/>
        </w:rPr>
        <w:t>NR</w:t>
      </w:r>
      <w:r w:rsidR="00D37CB9" w:rsidRPr="00E4786D">
        <w:t>.</w:t>
      </w:r>
    </w:p>
    <w:p w14:paraId="0DA4F1CD" w14:textId="3B6E9006" w:rsidR="00D37CB9" w:rsidRDefault="00AF40E9" w:rsidP="00E4786D">
      <w:pPr>
        <w:rPr>
          <w:lang w:val="en-US"/>
        </w:rPr>
      </w:pPr>
      <w:r>
        <w:rPr>
          <w:lang w:val="en-US"/>
        </w:rPr>
        <w:t xml:space="preserve">For inter-RAT mobility from LTE to NR, even </w:t>
      </w:r>
      <w:r w:rsidR="00F82D97">
        <w:rPr>
          <w:lang w:val="en-US"/>
        </w:rPr>
        <w:t xml:space="preserve">when </w:t>
      </w:r>
      <w:r>
        <w:rPr>
          <w:lang w:val="en-US"/>
        </w:rPr>
        <w:t>measurement GAP is not needed, the measurement configuration could still include a timing configuration</w:t>
      </w:r>
      <w:r w:rsidR="00670F3F">
        <w:rPr>
          <w:lang w:val="en-US"/>
        </w:rPr>
        <w:t>, similar to DMTC defined in LTE R12</w:t>
      </w:r>
      <w:r>
        <w:rPr>
          <w:lang w:val="en-US"/>
        </w:rPr>
        <w:t xml:space="preserve"> to easy UE measurement</w:t>
      </w:r>
      <w:r w:rsidR="00670F3F">
        <w:rPr>
          <w:lang w:val="en-US"/>
        </w:rPr>
        <w:t>.</w:t>
      </w:r>
    </w:p>
    <w:p w14:paraId="348CF71E" w14:textId="3CDE5BDD" w:rsidR="00AF40E9" w:rsidRPr="00E4786D" w:rsidRDefault="00AF40E9" w:rsidP="00AF40E9"/>
    <w:p w14:paraId="669A4079" w14:textId="77777777" w:rsidR="00927DCD" w:rsidRPr="00D53EE3" w:rsidRDefault="00927DCD" w:rsidP="00927DCD">
      <w:pPr>
        <w:pBdr>
          <w:top w:val="single" w:sz="4" w:space="1" w:color="auto"/>
          <w:left w:val="single" w:sz="4" w:space="4" w:color="auto"/>
          <w:bottom w:val="single" w:sz="4" w:space="1" w:color="auto"/>
          <w:right w:val="single" w:sz="4" w:space="4" w:color="auto"/>
        </w:pBdr>
        <w:jc w:val="center"/>
        <w:rPr>
          <w:sz w:val="24"/>
        </w:rPr>
      </w:pPr>
      <w:r w:rsidRPr="00D53EE3">
        <w:rPr>
          <w:sz w:val="24"/>
        </w:rPr>
        <w:t>End of change</w:t>
      </w:r>
    </w:p>
    <w:p w14:paraId="045085A0" w14:textId="77777777" w:rsidR="00D37CB9" w:rsidRPr="00E4786D" w:rsidRDefault="00D37CB9" w:rsidP="00D37CB9">
      <w:pPr>
        <w:rPr>
          <w:lang w:val="en-US"/>
        </w:rPr>
      </w:pPr>
    </w:p>
    <w:p w14:paraId="55A141CC" w14:textId="463F1D04" w:rsidR="004141DD" w:rsidRDefault="004141DD" w:rsidP="004141DD">
      <w:pPr>
        <w:pStyle w:val="Heading1"/>
      </w:pPr>
      <w:r>
        <w:t>Conclusion</w:t>
      </w:r>
    </w:p>
    <w:p w14:paraId="4AFF8F06" w14:textId="483FC957" w:rsidR="0084587D" w:rsidRPr="0084587D" w:rsidRDefault="0084587D" w:rsidP="00E4786D">
      <w:r>
        <w:t>Based on the discussion in section 2, we have the following observation and proposals.</w:t>
      </w:r>
    </w:p>
    <w:p w14:paraId="374ECDAB" w14:textId="77777777" w:rsidR="00670F3F" w:rsidRPr="00E4786D" w:rsidRDefault="00670F3F" w:rsidP="00E4786D">
      <w:pPr>
        <w:pStyle w:val="Observation"/>
        <w:numPr>
          <w:ilvl w:val="0"/>
          <w:numId w:val="27"/>
        </w:numPr>
        <w:rPr>
          <w:lang w:val="en-US"/>
        </w:rPr>
      </w:pPr>
      <w:r w:rsidRPr="00670F3F">
        <w:rPr>
          <w:lang w:val="en-US"/>
        </w:rPr>
        <w:t>The measurement object, trigger event and measurement quality defined in LTE is a good basis for inter-RAT mobility from LTE(NR) to NR(LTE).</w:t>
      </w:r>
    </w:p>
    <w:p w14:paraId="5D74019F" w14:textId="1F9CDC41" w:rsidR="008D2B6A" w:rsidRDefault="008D2B6A" w:rsidP="008D2B6A">
      <w:pPr>
        <w:pStyle w:val="Proposal"/>
        <w:numPr>
          <w:ilvl w:val="0"/>
          <w:numId w:val="23"/>
        </w:numPr>
        <w:rPr>
          <w:lang w:val="en-US"/>
        </w:rPr>
      </w:pPr>
      <w:r w:rsidRPr="008D2B6A">
        <w:rPr>
          <w:lang w:val="en-US"/>
        </w:rPr>
        <w:t xml:space="preserve">For inter-RAT mobility from LTE to NR, if measurement GAP is needed, at least some of measurement GAP needs to match the RS transmission occasion from neighbor </w:t>
      </w:r>
      <w:r w:rsidR="00670F3F">
        <w:rPr>
          <w:lang w:val="en-US"/>
        </w:rPr>
        <w:t>NR</w:t>
      </w:r>
      <w:r w:rsidRPr="008D2B6A">
        <w:rPr>
          <w:lang w:val="en-US"/>
        </w:rPr>
        <w:t>.</w:t>
      </w:r>
    </w:p>
    <w:p w14:paraId="34588578" w14:textId="56B0D0EA" w:rsidR="008D2B6A" w:rsidRPr="008D2B6A" w:rsidRDefault="008D2B6A" w:rsidP="008D2B6A">
      <w:pPr>
        <w:pStyle w:val="Proposal"/>
        <w:numPr>
          <w:ilvl w:val="0"/>
          <w:numId w:val="23"/>
        </w:numPr>
        <w:rPr>
          <w:lang w:val="en-US"/>
        </w:rPr>
      </w:pPr>
      <w:r w:rsidRPr="008D2B6A">
        <w:rPr>
          <w:lang w:val="en-US"/>
        </w:rPr>
        <w:t xml:space="preserve">For inter-RAT mobility from LTE to NR, even </w:t>
      </w:r>
      <w:r w:rsidR="00F82D97">
        <w:rPr>
          <w:lang w:val="en-US"/>
        </w:rPr>
        <w:t xml:space="preserve">when </w:t>
      </w:r>
      <w:r w:rsidRPr="008D2B6A">
        <w:rPr>
          <w:lang w:val="en-US"/>
        </w:rPr>
        <w:t>measurement GAP is not needed, the measurement configuration could still include a timing configuration</w:t>
      </w:r>
      <w:r w:rsidR="00670F3F">
        <w:rPr>
          <w:lang w:val="en-US"/>
        </w:rPr>
        <w:t xml:space="preserve"> similar to DMTC defined in LTE R12</w:t>
      </w:r>
      <w:r w:rsidRPr="008D2B6A">
        <w:rPr>
          <w:lang w:val="en-US"/>
        </w:rPr>
        <w:t xml:space="preserve"> to easy UE measurement.</w:t>
      </w:r>
    </w:p>
    <w:p w14:paraId="45976E6C" w14:textId="77777777" w:rsidR="008D2B6A" w:rsidRPr="008D2B6A" w:rsidRDefault="008D2B6A" w:rsidP="008D2B6A">
      <w:pPr>
        <w:rPr>
          <w:lang w:val="en-US"/>
        </w:rPr>
      </w:pPr>
    </w:p>
    <w:sectPr w:rsidR="008D2B6A" w:rsidRPr="008D2B6A">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Kristina Zetterberg" w:date="2017-02-01T14:39:00Z" w:initials="KZ">
    <w:p w14:paraId="66E24398" w14:textId="3C1DCD5C" w:rsidR="00F82D97" w:rsidRDefault="00F82D97">
      <w:pPr>
        <w:pStyle w:val="CommentText"/>
      </w:pPr>
      <w:r>
        <w:rPr>
          <w:rStyle w:val="CommentReference"/>
        </w:rPr>
        <w:annotationRef/>
      </w:r>
      <w:r>
        <w:t>Could it be of interest to consider beam specific measurements in some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E24398"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32B28" w14:textId="77777777" w:rsidR="0055394E" w:rsidRDefault="0055394E">
      <w:r>
        <w:separator/>
      </w:r>
    </w:p>
  </w:endnote>
  <w:endnote w:type="continuationSeparator" w:id="0">
    <w:p w14:paraId="665DB917" w14:textId="77777777" w:rsidR="0055394E" w:rsidRDefault="0055394E">
      <w:r>
        <w:continuationSeparator/>
      </w:r>
    </w:p>
  </w:endnote>
  <w:endnote w:type="continuationNotice" w:id="1">
    <w:p w14:paraId="749E1F62" w14:textId="77777777" w:rsidR="0055394E" w:rsidRDefault="00553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6C7DEF2C"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5B0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5B0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0CD15" w14:textId="77777777" w:rsidR="0055394E" w:rsidRDefault="0055394E">
      <w:r>
        <w:separator/>
      </w:r>
    </w:p>
  </w:footnote>
  <w:footnote w:type="continuationSeparator" w:id="0">
    <w:p w14:paraId="26379E3A" w14:textId="77777777" w:rsidR="0055394E" w:rsidRDefault="0055394E">
      <w:r>
        <w:continuationSeparator/>
      </w:r>
    </w:p>
  </w:footnote>
  <w:footnote w:type="continuationNotice" w:id="1">
    <w:p w14:paraId="1634DED0" w14:textId="77777777" w:rsidR="0055394E" w:rsidRDefault="00553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8"/>
  </w:num>
  <w:num w:numId="4">
    <w:abstractNumId w:val="9"/>
  </w:num>
  <w:num w:numId="5">
    <w:abstractNumId w:val="6"/>
  </w:num>
  <w:num w:numId="6">
    <w:abstractNumId w:val="10"/>
  </w:num>
  <w:num w:numId="7">
    <w:abstractNumId w:val="17"/>
  </w:num>
  <w:num w:numId="8">
    <w:abstractNumId w:val="7"/>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6"/>
  </w:num>
  <w:num w:numId="15">
    <w:abstractNumId w:val="18"/>
  </w:num>
  <w:num w:numId="16">
    <w:abstractNumId w:val="3"/>
  </w:num>
  <w:num w:numId="17">
    <w:abstractNumId w:val="8"/>
  </w:num>
  <w:num w:numId="18">
    <w:abstractNumId w:val="8"/>
    <w:lvlOverride w:ilvl="0">
      <w:startOverride w:val="1"/>
    </w:lvlOverride>
  </w:num>
  <w:num w:numId="19">
    <w:abstractNumId w:val="15"/>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8"/>
    <w:lvlOverride w:ilvl="0">
      <w:startOverride w:val="1"/>
    </w:lvlOverride>
  </w:num>
  <w:num w:numId="24">
    <w:abstractNumId w:val="5"/>
  </w:num>
  <w:num w:numId="25">
    <w:abstractNumId w:val="13"/>
    <w:lvlOverride w:ilvl="0">
      <w:startOverride w:val="1"/>
    </w:lvlOverride>
  </w:num>
  <w:num w:numId="26">
    <w:abstractNumId w:val="13"/>
  </w:num>
  <w:num w:numId="27">
    <w:abstractNumId w:val="13"/>
    <w:lvlOverride w:ilvl="0">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tina Zetterberg">
    <w15:presenceInfo w15:providerId="AD" w15:userId="S-1-5-21-1538607324-3213881460-940295383-493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5726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9F8"/>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0DF"/>
    <w:rsid w:val="000E0527"/>
    <w:rsid w:val="000E1E92"/>
    <w:rsid w:val="000E68B3"/>
    <w:rsid w:val="000F06D6"/>
    <w:rsid w:val="000F0DD9"/>
    <w:rsid w:val="000F0EB1"/>
    <w:rsid w:val="000F1106"/>
    <w:rsid w:val="000F3BE9"/>
    <w:rsid w:val="000F3F6C"/>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4ADC"/>
    <w:rsid w:val="001659C1"/>
    <w:rsid w:val="0016637B"/>
    <w:rsid w:val="00167C89"/>
    <w:rsid w:val="00173344"/>
    <w:rsid w:val="00173A8E"/>
    <w:rsid w:val="00174A60"/>
    <w:rsid w:val="001774BD"/>
    <w:rsid w:val="00177587"/>
    <w:rsid w:val="0018143F"/>
    <w:rsid w:val="001825A5"/>
    <w:rsid w:val="00190AC1"/>
    <w:rsid w:val="00192BEB"/>
    <w:rsid w:val="0019341A"/>
    <w:rsid w:val="001949D4"/>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F3A"/>
    <w:rsid w:val="00203F96"/>
    <w:rsid w:val="002069B2"/>
    <w:rsid w:val="002077AB"/>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08D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0DB5"/>
    <w:rsid w:val="0032131B"/>
    <w:rsid w:val="00322C9F"/>
    <w:rsid w:val="0032340E"/>
    <w:rsid w:val="0032460C"/>
    <w:rsid w:val="00324D23"/>
    <w:rsid w:val="00331751"/>
    <w:rsid w:val="00334579"/>
    <w:rsid w:val="00334EAF"/>
    <w:rsid w:val="00335858"/>
    <w:rsid w:val="00336BDA"/>
    <w:rsid w:val="0033744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58F0"/>
    <w:rsid w:val="00437447"/>
    <w:rsid w:val="004405BB"/>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1EB0"/>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045"/>
    <w:rsid w:val="004E56DC"/>
    <w:rsid w:val="004E76F4"/>
    <w:rsid w:val="004F0B4E"/>
    <w:rsid w:val="004F0B6C"/>
    <w:rsid w:val="004F14EE"/>
    <w:rsid w:val="004F2078"/>
    <w:rsid w:val="004F3527"/>
    <w:rsid w:val="004F4DA3"/>
    <w:rsid w:val="004F69D1"/>
    <w:rsid w:val="004F6FE0"/>
    <w:rsid w:val="005008F7"/>
    <w:rsid w:val="00506557"/>
    <w:rsid w:val="0050677A"/>
    <w:rsid w:val="005108D8"/>
    <w:rsid w:val="005116F9"/>
    <w:rsid w:val="005131EC"/>
    <w:rsid w:val="005153A7"/>
    <w:rsid w:val="00517AD0"/>
    <w:rsid w:val="00517BE0"/>
    <w:rsid w:val="00520159"/>
    <w:rsid w:val="00520D36"/>
    <w:rsid w:val="00521514"/>
    <w:rsid w:val="005219CF"/>
    <w:rsid w:val="00527027"/>
    <w:rsid w:val="00530FD1"/>
    <w:rsid w:val="00532CBD"/>
    <w:rsid w:val="00534B59"/>
    <w:rsid w:val="00536759"/>
    <w:rsid w:val="00537C62"/>
    <w:rsid w:val="00546970"/>
    <w:rsid w:val="00547755"/>
    <w:rsid w:val="00547D9C"/>
    <w:rsid w:val="0055231F"/>
    <w:rsid w:val="0055394E"/>
    <w:rsid w:val="00554E19"/>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0F3F"/>
    <w:rsid w:val="0067218F"/>
    <w:rsid w:val="00672B38"/>
    <w:rsid w:val="00673C8B"/>
    <w:rsid w:val="006741F2"/>
    <w:rsid w:val="00674CC3"/>
    <w:rsid w:val="00675C72"/>
    <w:rsid w:val="006771F9"/>
    <w:rsid w:val="006776D7"/>
    <w:rsid w:val="00681003"/>
    <w:rsid w:val="006817C9"/>
    <w:rsid w:val="0068185F"/>
    <w:rsid w:val="00683ECE"/>
    <w:rsid w:val="00691591"/>
    <w:rsid w:val="00695FC2"/>
    <w:rsid w:val="006967F7"/>
    <w:rsid w:val="00696949"/>
    <w:rsid w:val="00696E1B"/>
    <w:rsid w:val="00697052"/>
    <w:rsid w:val="006A39E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3235"/>
    <w:rsid w:val="006C56AD"/>
    <w:rsid w:val="006C5EC9"/>
    <w:rsid w:val="006C6059"/>
    <w:rsid w:val="006C7522"/>
    <w:rsid w:val="006D43DA"/>
    <w:rsid w:val="006D5B6C"/>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31B9"/>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1AF5"/>
    <w:rsid w:val="00763E56"/>
    <w:rsid w:val="00765281"/>
    <w:rsid w:val="00766BAD"/>
    <w:rsid w:val="0076708C"/>
    <w:rsid w:val="00770B34"/>
    <w:rsid w:val="00770F02"/>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0AA1"/>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E1DEB"/>
    <w:rsid w:val="007E33DA"/>
    <w:rsid w:val="007E4610"/>
    <w:rsid w:val="007E4715"/>
    <w:rsid w:val="007E505B"/>
    <w:rsid w:val="007E7091"/>
    <w:rsid w:val="007E784D"/>
    <w:rsid w:val="007F131B"/>
    <w:rsid w:val="007F60D8"/>
    <w:rsid w:val="00803FAE"/>
    <w:rsid w:val="0080605F"/>
    <w:rsid w:val="00807786"/>
    <w:rsid w:val="00810117"/>
    <w:rsid w:val="0081144B"/>
    <w:rsid w:val="00811FCB"/>
    <w:rsid w:val="008158D6"/>
    <w:rsid w:val="00817196"/>
    <w:rsid w:val="00821A06"/>
    <w:rsid w:val="008235DB"/>
    <w:rsid w:val="00824AB4"/>
    <w:rsid w:val="00825C42"/>
    <w:rsid w:val="00825D25"/>
    <w:rsid w:val="00826C8B"/>
    <w:rsid w:val="00827D6F"/>
    <w:rsid w:val="00830DF7"/>
    <w:rsid w:val="0083700D"/>
    <w:rsid w:val="008376AC"/>
    <w:rsid w:val="00837BFA"/>
    <w:rsid w:val="008444E8"/>
    <w:rsid w:val="00844E80"/>
    <w:rsid w:val="0084587D"/>
    <w:rsid w:val="00846FE7"/>
    <w:rsid w:val="00855B00"/>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1777"/>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3368"/>
    <w:rsid w:val="008C4958"/>
    <w:rsid w:val="008C4BAA"/>
    <w:rsid w:val="008C6AE8"/>
    <w:rsid w:val="008C7573"/>
    <w:rsid w:val="008D2B6A"/>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4AC0"/>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28AD"/>
    <w:rsid w:val="009D2B68"/>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0E9"/>
    <w:rsid w:val="00AF42D7"/>
    <w:rsid w:val="00AF70B2"/>
    <w:rsid w:val="00B006FE"/>
    <w:rsid w:val="00B007CB"/>
    <w:rsid w:val="00B01170"/>
    <w:rsid w:val="00B02AA9"/>
    <w:rsid w:val="00B02FA3"/>
    <w:rsid w:val="00B05084"/>
    <w:rsid w:val="00B1159C"/>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2CAA"/>
    <w:rsid w:val="00B53FB8"/>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085"/>
    <w:rsid w:val="00B85DE5"/>
    <w:rsid w:val="00B87C43"/>
    <w:rsid w:val="00B901E1"/>
    <w:rsid w:val="00B90F73"/>
    <w:rsid w:val="00B92EA3"/>
    <w:rsid w:val="00B93B59"/>
    <w:rsid w:val="00B9406A"/>
    <w:rsid w:val="00B94F76"/>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738"/>
    <w:rsid w:val="00C23EC4"/>
    <w:rsid w:val="00C25186"/>
    <w:rsid w:val="00C279B5"/>
    <w:rsid w:val="00C27C45"/>
    <w:rsid w:val="00C36C34"/>
    <w:rsid w:val="00C3719D"/>
    <w:rsid w:val="00C379F5"/>
    <w:rsid w:val="00C45B86"/>
    <w:rsid w:val="00C4713E"/>
    <w:rsid w:val="00C47DF1"/>
    <w:rsid w:val="00C50BE0"/>
    <w:rsid w:val="00C51805"/>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2B8"/>
    <w:rsid w:val="00D37BAE"/>
    <w:rsid w:val="00D37CB9"/>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A7F82"/>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86D"/>
    <w:rsid w:val="00E47AEF"/>
    <w:rsid w:val="00E50DDC"/>
    <w:rsid w:val="00E52A05"/>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513"/>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5964"/>
    <w:rsid w:val="00F262AD"/>
    <w:rsid w:val="00F275CF"/>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2D97"/>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2F3540B2-835B-4A00-B7C8-F4EA57FB2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780">
      <w:bodyDiv w:val="1"/>
      <w:marLeft w:val="0"/>
      <w:marRight w:val="0"/>
      <w:marTop w:val="0"/>
      <w:marBottom w:val="0"/>
      <w:divBdr>
        <w:top w:val="none" w:sz="0" w:space="0" w:color="auto"/>
        <w:left w:val="none" w:sz="0" w:space="0" w:color="auto"/>
        <w:bottom w:val="none" w:sz="0" w:space="0" w:color="auto"/>
        <w:right w:val="none" w:sz="0" w:space="0" w:color="auto"/>
      </w:divBdr>
    </w:div>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6932135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96/Docs/R2-16872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SAQRZK7RPU5V-1-16390</_dlc_DocId>
    <_dlc_DocIdUrl xmlns="08b2df90-05d3-4030-90d4-c9feeb4a1cd9">
      <Url>https://ericoll.internal.ericsson.com/sites/NSA/_layouts/DocIdRedir.aspx?ID=SAQRZK7RPU5V-1-16390</Url>
      <Description>SAQRZK7RPU5V-1-16390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DF204115-71B2-4D22-9D1F-E23031942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1221</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fan rui</dc:creator>
  <cp:keywords>Ericsson; TDoc; 3GPP</cp:keywords>
  <cp:lastModifiedBy>ERICSSON</cp:lastModifiedBy>
  <cp:revision>3</cp:revision>
  <cp:lastPrinted>2016-01-26T08:44:00Z</cp:lastPrinted>
  <dcterms:created xsi:type="dcterms:W3CDTF">2017-02-04T03:09:00Z</dcterms:created>
  <dcterms:modified xsi:type="dcterms:W3CDTF">2017-02-04T03:11:00Z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7e3571b1-0c8d-4912-af4a-8501147a0af5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